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CE8BF" w14:textId="10668030" w:rsidR="003E3A25" w:rsidRPr="009F33AE" w:rsidRDefault="003E3A25" w:rsidP="009F33AE">
      <w:pPr>
        <w:pStyle w:val="2"/>
        <w:rPr>
          <w:b/>
          <w:bCs/>
        </w:rPr>
      </w:pPr>
      <w:bookmarkStart w:id="0" w:name="_ОБРАЗЕЦ_ПИСЬМА_ВВОЗ"/>
      <w:bookmarkStart w:id="1" w:name="_Toc501710154"/>
      <w:bookmarkStart w:id="2" w:name="_Toc195946717"/>
      <w:bookmarkEnd w:id="0"/>
      <w:r w:rsidRPr="009F33AE">
        <w:rPr>
          <w:b/>
          <w:bCs/>
        </w:rPr>
        <w:t xml:space="preserve">ОБРАЗЕЦ </w:t>
      </w:r>
      <w:r w:rsidR="003747FA" w:rsidRPr="009F33AE">
        <w:rPr>
          <w:b/>
          <w:bCs/>
        </w:rPr>
        <w:t>ПИСЬМА</w:t>
      </w:r>
      <w:r w:rsidRPr="009F33AE">
        <w:rPr>
          <w:b/>
          <w:bCs/>
        </w:rPr>
        <w:t xml:space="preserve"> </w:t>
      </w:r>
      <w:r w:rsidR="009F33AE">
        <w:rPr>
          <w:b/>
          <w:bCs/>
        </w:rPr>
        <w:t xml:space="preserve">НА </w:t>
      </w:r>
      <w:r w:rsidRPr="009F33AE">
        <w:rPr>
          <w:b/>
          <w:bCs/>
        </w:rPr>
        <w:t>ВВОЗ И ВЫВОЗ ОБОРУДОВАНИЯ И ЭКСПОНАТОВ</w:t>
      </w:r>
      <w:bookmarkEnd w:id="1"/>
      <w:bookmarkEnd w:id="2"/>
    </w:p>
    <w:p w14:paraId="6039E3FE" w14:textId="77777777" w:rsidR="003E3A25" w:rsidRPr="003E3A25" w:rsidRDefault="003E3A25" w:rsidP="003E3A25">
      <w:pPr>
        <w:ind w:right="91"/>
        <w:jc w:val="center"/>
        <w:rPr>
          <w:rFonts w:ascii="Arial" w:hAnsi="Arial" w:cs="Arial"/>
          <w:i/>
          <w:iCs/>
          <w:color w:val="FF0000"/>
          <w:sz w:val="24"/>
          <w14:ligatures w14:val="none"/>
        </w:rPr>
      </w:pPr>
      <w:r w:rsidRPr="003E3A25">
        <w:rPr>
          <w:rFonts w:ascii="Arial" w:hAnsi="Arial" w:cs="Arial"/>
          <w:i/>
          <w:iCs/>
          <w:color w:val="FF0000"/>
          <w:sz w:val="24"/>
          <w14:ligatures w14:val="none"/>
        </w:rPr>
        <w:t>(</w:t>
      </w:r>
      <w:r w:rsidRPr="003E3A25">
        <w:rPr>
          <w:rFonts w:ascii="Arial" w:hAnsi="Arial" w:cs="Arial"/>
          <w:i/>
          <w:iCs/>
          <w:color w:val="FF0000"/>
          <w:sz w:val="24"/>
          <w:u w:val="single"/>
          <w14:ligatures w14:val="none"/>
        </w:rPr>
        <w:t xml:space="preserve">Составляется на фирменном бланке с подписью и печатью руководителя </w:t>
      </w:r>
      <w:r w:rsidRPr="003E3A25">
        <w:rPr>
          <w:rFonts w:ascii="Arial" w:hAnsi="Arial" w:cs="Arial"/>
          <w:b/>
          <w:i/>
          <w:iCs/>
          <w:color w:val="FF0000"/>
          <w:sz w:val="24"/>
          <w:u w:val="single"/>
          <w14:ligatures w14:val="none"/>
        </w:rPr>
        <w:t>в 3 экз</w:t>
      </w:r>
      <w:r w:rsidRPr="003E3A25">
        <w:rPr>
          <w:rFonts w:ascii="Arial" w:hAnsi="Arial" w:cs="Arial"/>
          <w:i/>
          <w:iCs/>
          <w:color w:val="FF0000"/>
          <w:sz w:val="24"/>
          <w:u w:val="single"/>
          <w14:ligatures w14:val="none"/>
        </w:rPr>
        <w:t>.</w:t>
      </w:r>
      <w:r w:rsidRPr="003E3A25">
        <w:rPr>
          <w:rFonts w:ascii="Arial" w:hAnsi="Arial" w:cs="Arial"/>
          <w:i/>
          <w:iCs/>
          <w:color w:val="FF0000"/>
          <w:sz w:val="24"/>
          <w14:ligatures w14:val="none"/>
        </w:rPr>
        <w:t xml:space="preserve">) </w:t>
      </w:r>
    </w:p>
    <w:p w14:paraId="27EC63D0" w14:textId="77777777" w:rsidR="003E3A25" w:rsidRPr="003E3A25" w:rsidRDefault="003E3A25" w:rsidP="00523BA0">
      <w:pPr>
        <w:spacing w:after="0"/>
        <w:jc w:val="both"/>
        <w:rPr>
          <w:rFonts w:ascii="PT Sans Caption" w:hAnsi="PT Sans Caption"/>
          <w:b/>
          <w:bCs/>
          <w:color w:val="002060"/>
          <w:sz w:val="18"/>
          <w:szCs w:val="18"/>
          <w14:ligatures w14:val="none"/>
        </w:rPr>
      </w:pPr>
      <w:r w:rsidRPr="003E3A25">
        <w:rPr>
          <w:rFonts w:ascii="PT Sans Caption" w:hAnsi="PT Sans Caption"/>
          <w:b/>
          <w:bCs/>
          <w:color w:val="002060"/>
          <w:sz w:val="18"/>
          <w:szCs w:val="18"/>
          <w14:ligatures w14:val="none"/>
        </w:rPr>
        <w:t>Обращаем ваше внимание, что на согласование принимаются письма, содержащие полный текст образца «Письма для ввоза и вывоза оборудования и экспонатов»!</w:t>
      </w:r>
    </w:p>
    <w:p w14:paraId="32BDE28D" w14:textId="6E7CA64A" w:rsidR="003E3A25" w:rsidRPr="003E3A25" w:rsidRDefault="003E3A25" w:rsidP="00523BA0">
      <w:pPr>
        <w:spacing w:after="0"/>
        <w:jc w:val="both"/>
        <w:rPr>
          <w:rFonts w:ascii="PT Sans Caption" w:hAnsi="PT Sans Caption"/>
          <w:sz w:val="18"/>
          <w:szCs w:val="18"/>
          <w14:ligatures w14:val="none"/>
        </w:rPr>
      </w:pPr>
      <w:r w:rsidRPr="003E3A25">
        <w:rPr>
          <w:rFonts w:ascii="PT Sans Caption" w:hAnsi="PT Sans Caption"/>
          <w:sz w:val="18"/>
          <w:szCs w:val="18"/>
          <w14:ligatures w14:val="none"/>
        </w:rPr>
        <w:t>При наличии всех необходимых согласований (печат</w:t>
      </w:r>
      <w:r w:rsidR="00FF4F48">
        <w:rPr>
          <w:rFonts w:ascii="PT Sans Caption" w:hAnsi="PT Sans Caption"/>
          <w:sz w:val="18"/>
          <w:szCs w:val="18"/>
          <w14:ligatures w14:val="none"/>
        </w:rPr>
        <w:t>и Организатора</w:t>
      </w:r>
      <w:r w:rsidRPr="003E3A25">
        <w:rPr>
          <w:rFonts w:ascii="PT Sans Caption" w:hAnsi="PT Sans Caption"/>
          <w:sz w:val="18"/>
          <w:szCs w:val="18"/>
          <w14:ligatures w14:val="none"/>
        </w:rPr>
        <w:t>) вы можете заранее отправить письмо в Отдел «Сервис-центр» по электронной почте</w:t>
      </w:r>
      <w:r w:rsidR="00FF4F48">
        <w:rPr>
          <w:rFonts w:ascii="PT Sans Caption" w:hAnsi="PT Sans Caption"/>
          <w:sz w:val="18"/>
          <w:szCs w:val="18"/>
          <w14:ligatures w14:val="none"/>
        </w:rPr>
        <w:t xml:space="preserve"> или </w:t>
      </w:r>
      <w:r w:rsidR="00FF4F48" w:rsidRPr="00FF4F48">
        <w:rPr>
          <w:rFonts w:ascii="PT Sans Caption" w:hAnsi="PT Sans Caption"/>
          <w:sz w:val="18"/>
          <w:szCs w:val="18"/>
          <w14:ligatures w14:val="none"/>
        </w:rPr>
        <w:t>предоставить непосредственно на стойке «Информация и оформление услуг» павильона №2 на стойке «Информация и оформление услуг», расположенной в фойе павильона № 2</w:t>
      </w:r>
      <w:r w:rsidRPr="003E3A25">
        <w:rPr>
          <w:rFonts w:ascii="PT Sans Caption" w:hAnsi="PT Sans Caption"/>
          <w:sz w:val="18"/>
          <w:szCs w:val="18"/>
          <w14:ligatures w14:val="none"/>
        </w:rPr>
        <w:t xml:space="preserve"> для получения разрешения на ввоз/вывоз, а также пропуска в Зону проведения ПРР. </w:t>
      </w:r>
    </w:p>
    <w:p w14:paraId="274C1078" w14:textId="0B0126A3" w:rsidR="003E3A25" w:rsidRPr="00523BA0" w:rsidRDefault="003E3A25" w:rsidP="00523BA0">
      <w:pPr>
        <w:spacing w:after="0"/>
        <w:jc w:val="both"/>
        <w:rPr>
          <w:rFonts w:ascii="PT Sans Caption" w:hAnsi="PT Sans Caption"/>
          <w:b/>
          <w:sz w:val="18"/>
          <w:szCs w:val="18"/>
          <w14:ligatures w14:val="none"/>
        </w:rPr>
      </w:pPr>
      <w:r w:rsidRPr="003E3A25">
        <w:rPr>
          <w:rFonts w:ascii="PT Sans Caption" w:hAnsi="PT Sans Caption"/>
          <w:b/>
          <w:sz w:val="18"/>
          <w:szCs w:val="18"/>
          <w14:ligatures w14:val="none"/>
        </w:rPr>
        <w:t xml:space="preserve">Отдел «Сервис-центр»: </w:t>
      </w:r>
      <w:bookmarkStart w:id="3" w:name="_Hlk201080282"/>
      <w:r>
        <w:fldChar w:fldCharType="begin"/>
      </w:r>
      <w:r>
        <w:instrText>HYPERLINK "mailto:Service@Crocus-Expo.ru"</w:instrText>
      </w:r>
      <w:r>
        <w:fldChar w:fldCharType="separate"/>
      </w:r>
      <w:r w:rsidRPr="003E3A25">
        <w:rPr>
          <w:rFonts w:ascii="PT Sans Caption" w:hAnsi="PT Sans Caption"/>
          <w:b/>
          <w:color w:val="0563C1" w:themeColor="hyperlink"/>
          <w:sz w:val="18"/>
          <w:szCs w:val="18"/>
          <w:u w:val="single"/>
          <w:lang w:val="en-US"/>
          <w14:ligatures w14:val="none"/>
        </w:rPr>
        <w:t>Service</w:t>
      </w:r>
      <w:r w:rsidRPr="003E3A25">
        <w:rPr>
          <w:rFonts w:ascii="PT Sans Caption" w:hAnsi="PT Sans Caption"/>
          <w:b/>
          <w:color w:val="0563C1" w:themeColor="hyperlink"/>
          <w:sz w:val="18"/>
          <w:szCs w:val="18"/>
          <w:u w:val="single"/>
          <w14:ligatures w14:val="none"/>
        </w:rPr>
        <w:t>@</w:t>
      </w:r>
      <w:r w:rsidRPr="003E3A25">
        <w:rPr>
          <w:rFonts w:ascii="PT Sans Caption" w:hAnsi="PT Sans Caption"/>
          <w:b/>
          <w:color w:val="0563C1" w:themeColor="hyperlink"/>
          <w:sz w:val="18"/>
          <w:szCs w:val="18"/>
          <w:u w:val="single"/>
          <w:lang w:val="en-US"/>
          <w14:ligatures w14:val="none"/>
        </w:rPr>
        <w:t>Crocus</w:t>
      </w:r>
      <w:r w:rsidRPr="003E3A25">
        <w:rPr>
          <w:rFonts w:ascii="PT Sans Caption" w:hAnsi="PT Sans Caption"/>
          <w:b/>
          <w:color w:val="0563C1" w:themeColor="hyperlink"/>
          <w:sz w:val="18"/>
          <w:szCs w:val="18"/>
          <w:u w:val="single"/>
          <w14:ligatures w14:val="none"/>
        </w:rPr>
        <w:t>-</w:t>
      </w:r>
      <w:r w:rsidRPr="003E3A25">
        <w:rPr>
          <w:rFonts w:ascii="PT Sans Caption" w:hAnsi="PT Sans Caption"/>
          <w:b/>
          <w:color w:val="0563C1" w:themeColor="hyperlink"/>
          <w:sz w:val="18"/>
          <w:szCs w:val="18"/>
          <w:u w:val="single"/>
          <w:lang w:val="en-US"/>
          <w14:ligatures w14:val="none"/>
        </w:rPr>
        <w:t>Expo</w:t>
      </w:r>
      <w:r w:rsidRPr="003E3A25">
        <w:rPr>
          <w:rFonts w:ascii="PT Sans Caption" w:hAnsi="PT Sans Caption"/>
          <w:b/>
          <w:color w:val="0563C1" w:themeColor="hyperlink"/>
          <w:sz w:val="18"/>
          <w:szCs w:val="18"/>
          <w:u w:val="single"/>
          <w14:ligatures w14:val="none"/>
        </w:rPr>
        <w:t>.</w:t>
      </w:r>
      <w:proofErr w:type="spellStart"/>
      <w:r w:rsidRPr="003E3A25">
        <w:rPr>
          <w:rFonts w:ascii="PT Sans Caption" w:hAnsi="PT Sans Caption"/>
          <w:b/>
          <w:color w:val="0563C1" w:themeColor="hyperlink"/>
          <w:sz w:val="18"/>
          <w:szCs w:val="18"/>
          <w:u w:val="single"/>
          <w:lang w:val="en-US"/>
          <w14:ligatures w14:val="none"/>
        </w:rPr>
        <w:t>ru</w:t>
      </w:r>
      <w:proofErr w:type="spellEnd"/>
      <w:r>
        <w:fldChar w:fldCharType="end"/>
      </w:r>
      <w:bookmarkEnd w:id="3"/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9"/>
        <w:gridCol w:w="1129"/>
        <w:gridCol w:w="1139"/>
        <w:gridCol w:w="278"/>
        <w:gridCol w:w="1990"/>
        <w:gridCol w:w="137"/>
        <w:gridCol w:w="997"/>
        <w:gridCol w:w="137"/>
        <w:gridCol w:w="992"/>
        <w:gridCol w:w="2415"/>
      </w:tblGrid>
      <w:tr w:rsidR="00A81CAD" w:rsidRPr="00DC70C0" w14:paraId="2D8FD97A" w14:textId="77777777" w:rsidTr="00A81CAD">
        <w:tc>
          <w:tcPr>
            <w:tcW w:w="552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B3988C" w14:textId="77777777" w:rsidR="00A81CAD" w:rsidRPr="00DC70C0" w:rsidRDefault="00A81CAD" w:rsidP="00194133">
            <w:pPr>
              <w:rPr>
                <w:rFonts w:ascii="PT Sans Caption" w:hAnsi="PT Sans Caption" w:cstheme="minorHAnsi"/>
                <w:b/>
                <w:bCs/>
                <w:color w:val="002060"/>
              </w:rPr>
            </w:pPr>
            <w:r w:rsidRPr="00DC70C0">
              <w:rPr>
                <w:rFonts w:ascii="PT Sans Caption" w:hAnsi="PT Sans Caption" w:cstheme="minorHAnsi"/>
                <w:b/>
                <w:bCs/>
                <w:color w:val="002060"/>
              </w:rPr>
              <w:t xml:space="preserve">ПИСЬМО ДЛЯ ВВОЗА И ВЫВОЗА </w:t>
            </w:r>
          </w:p>
          <w:p w14:paraId="53EFEB94" w14:textId="77777777" w:rsidR="00A81CAD" w:rsidRPr="00DC70C0" w:rsidRDefault="00A81CAD" w:rsidP="00194133">
            <w:pPr>
              <w:rPr>
                <w:rFonts w:ascii="PT Sans Caption" w:hAnsi="PT Sans Caption" w:cstheme="minorHAnsi"/>
                <w:b/>
                <w:bCs/>
                <w:color w:val="002060"/>
              </w:rPr>
            </w:pPr>
            <w:r w:rsidRPr="00DC70C0">
              <w:rPr>
                <w:rFonts w:ascii="PT Sans Caption" w:hAnsi="PT Sans Caption" w:cstheme="minorHAnsi"/>
                <w:b/>
                <w:bCs/>
                <w:color w:val="002060"/>
              </w:rPr>
              <w:t>ОБОРУДОВАНИЯ И ЭКСПОНАТОВ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2D79DD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  <w:r w:rsidRPr="00DC70C0">
              <w:rPr>
                <w:rFonts w:ascii="PT Sans Caption" w:hAnsi="PT Sans Caption" w:cstheme="minorHAnsi"/>
                <w:sz w:val="20"/>
                <w:szCs w:val="20"/>
              </w:rPr>
              <w:t>Письмо №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09A8D8BF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</w:tr>
      <w:tr w:rsidR="00A81CAD" w:rsidRPr="00DC70C0" w14:paraId="3BFBFC15" w14:textId="77777777" w:rsidTr="00A81CAD">
        <w:tc>
          <w:tcPr>
            <w:tcW w:w="5524" w:type="dxa"/>
            <w:gridSpan w:val="7"/>
            <w:vMerge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0296D8BE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7005A612" w14:textId="77777777" w:rsidR="00A81CAD" w:rsidRDefault="00A81CAD" w:rsidP="00194133">
            <w:pPr>
              <w:jc w:val="both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Заполняется сотрудником </w:t>
            </w:r>
          </w:p>
          <w:p w14:paraId="23C0F176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Отдела «Сервис-центр»</w:t>
            </w:r>
          </w:p>
        </w:tc>
      </w:tr>
      <w:tr w:rsidR="00A81CAD" w:rsidRPr="00DC70C0" w14:paraId="6B4AEAC9" w14:textId="77777777" w:rsidTr="00A81CAD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D027EA8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Заказчик</w:t>
            </w:r>
          </w:p>
        </w:tc>
        <w:tc>
          <w:tcPr>
            <w:tcW w:w="6946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3C1C261" w14:textId="5FF2C719" w:rsidR="00A81CAD" w:rsidRPr="00DC70C0" w:rsidRDefault="00A81CAD" w:rsidP="00194133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Название компании-заказчика (или Ф.И.О. физического лица-заказчика) по договору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 с ООО «</w:t>
            </w:r>
            <w:proofErr w:type="spellStart"/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Евроэкспо</w:t>
            </w:r>
            <w:proofErr w:type="spellEnd"/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 КОММ»</w:t>
            </w: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. </w:t>
            </w:r>
          </w:p>
        </w:tc>
      </w:tr>
      <w:tr w:rsidR="00A81CAD" w:rsidRPr="00DC70C0" w14:paraId="4AF435C0" w14:textId="77777777" w:rsidTr="00A81CAD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41E226C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Категория заказчика</w:t>
            </w:r>
          </w:p>
        </w:tc>
        <w:tc>
          <w:tcPr>
            <w:tcW w:w="6946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31B5763" w14:textId="3729F6EE" w:rsidR="00A81CAD" w:rsidRPr="00DC70C0" w:rsidRDefault="00A81CAD" w:rsidP="00FF4F48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Экспонент</w:t>
            </w:r>
          </w:p>
        </w:tc>
      </w:tr>
      <w:tr w:rsidR="00A81CAD" w:rsidRPr="00DC70C0" w14:paraId="5BDC10F1" w14:textId="77777777" w:rsidTr="00A81CAD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5BED6DB" w14:textId="77777777" w:rsidR="00A81CAD" w:rsidRPr="00DC70C0" w:rsidRDefault="00A81CAD" w:rsidP="00194133">
            <w:pPr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Компания,</w:t>
            </w:r>
            <w:r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осуществляющая ввоз и вывоз оборудования и экспонатов</w:t>
            </w:r>
          </w:p>
        </w:tc>
        <w:tc>
          <w:tcPr>
            <w:tcW w:w="6946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5453A57" w14:textId="77777777" w:rsidR="00A81CAD" w:rsidRPr="00DC70C0" w:rsidRDefault="00A81CAD" w:rsidP="00194133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Указать в случае, если отличается от заказчика</w:t>
            </w:r>
          </w:p>
        </w:tc>
      </w:tr>
      <w:tr w:rsidR="00A81CAD" w:rsidRPr="00DC70C0" w14:paraId="5897113E" w14:textId="77777777" w:rsidTr="00A81CAD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482D8A0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Мероприятие</w:t>
            </w:r>
          </w:p>
        </w:tc>
        <w:tc>
          <w:tcPr>
            <w:tcW w:w="6946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ABD3B41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A81CAD" w:rsidRPr="00DC70C0" w14:paraId="2AB41911" w14:textId="77777777" w:rsidTr="00A81CAD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67D4F31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Даты проведения</w:t>
            </w:r>
          </w:p>
        </w:tc>
        <w:tc>
          <w:tcPr>
            <w:tcW w:w="6946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053D236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A81CAD" w:rsidRPr="00DC70C0" w14:paraId="0A491D33" w14:textId="77777777" w:rsidTr="00A81CAD">
        <w:tc>
          <w:tcPr>
            <w:tcW w:w="311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A326489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Место проведения</w:t>
            </w:r>
          </w:p>
        </w:tc>
        <w:tc>
          <w:tcPr>
            <w:tcW w:w="2405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A47CF4F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Павильон</w:t>
            </w:r>
          </w:p>
        </w:tc>
        <w:tc>
          <w:tcPr>
            <w:tcW w:w="2126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FE8E6FD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 xml:space="preserve">Зал </w:t>
            </w:r>
          </w:p>
        </w:tc>
        <w:tc>
          <w:tcPr>
            <w:tcW w:w="24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4F230DA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Стенд</w:t>
            </w:r>
          </w:p>
        </w:tc>
      </w:tr>
      <w:tr w:rsidR="00A81CAD" w:rsidRPr="00DC70C0" w14:paraId="422A3808" w14:textId="77777777" w:rsidTr="00A81CAD">
        <w:tc>
          <w:tcPr>
            <w:tcW w:w="7650" w:type="dxa"/>
            <w:gridSpan w:val="10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31F1E6B3" w14:textId="77777777" w:rsidR="00A81CAD" w:rsidRPr="009219E1" w:rsidRDefault="00A81CAD" w:rsidP="00194133">
            <w:pPr>
              <w:jc w:val="both"/>
              <w:rPr>
                <w:rFonts w:ascii="PT Sans Caption" w:hAnsi="PT Sans Caption" w:cstheme="minorHAnsi"/>
                <w:b/>
                <w:bCs/>
                <w:color w:val="002060"/>
                <w:sz w:val="16"/>
                <w:szCs w:val="16"/>
              </w:rPr>
            </w:pPr>
          </w:p>
          <w:p w14:paraId="282C2B35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b/>
                <w:bCs/>
                <w:sz w:val="20"/>
                <w:szCs w:val="20"/>
              </w:rPr>
            </w:pPr>
            <w:r w:rsidRPr="00DC70C0">
              <w:rPr>
                <w:rFonts w:ascii="PT Sans Caption" w:hAnsi="PT Sans Caption" w:cstheme="minorHAnsi"/>
                <w:b/>
                <w:bCs/>
                <w:color w:val="002060"/>
                <w:sz w:val="20"/>
                <w:szCs w:val="20"/>
              </w:rPr>
              <w:t xml:space="preserve">СПИСОК ОБОРУДОВАНИЯ И ЭКСПОНАТОВ </w:t>
            </w:r>
          </w:p>
        </w:tc>
        <w:tc>
          <w:tcPr>
            <w:tcW w:w="241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4182635A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</w:tr>
      <w:tr w:rsidR="00A81CAD" w:rsidRPr="00DC70C0" w14:paraId="095E47A6" w14:textId="77777777" w:rsidTr="00A81CAD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8B4578E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98FDBD1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 xml:space="preserve">Наименование ввозимого оборудования или экспоната (для техники – указать серийный номер) </w:t>
            </w:r>
          </w:p>
        </w:tc>
        <w:tc>
          <w:tcPr>
            <w:tcW w:w="24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EF0DD15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Количество</w:t>
            </w:r>
          </w:p>
        </w:tc>
      </w:tr>
      <w:tr w:rsidR="00A81CAD" w:rsidRPr="00DC70C0" w14:paraId="778C8B38" w14:textId="77777777" w:rsidTr="00A81CAD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0EF56B1" w14:textId="77777777" w:rsidR="00A81CAD" w:rsidRPr="00DC70C0" w:rsidRDefault="00A81CAD" w:rsidP="0019413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1.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8DD7E4B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442F3B6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A81CAD" w:rsidRPr="00DC70C0" w14:paraId="6D24F23D" w14:textId="77777777" w:rsidTr="00A81CAD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5C5D814" w14:textId="77777777" w:rsidR="00A81CAD" w:rsidRPr="00DC70C0" w:rsidRDefault="00A81CAD" w:rsidP="0019413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2.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1FF7777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0970843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A81CAD" w:rsidRPr="00DC70C0" w14:paraId="0F039BCD" w14:textId="77777777" w:rsidTr="00A81CAD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D6E10C3" w14:textId="77777777" w:rsidR="00A81CAD" w:rsidRPr="00DC70C0" w:rsidRDefault="00A81CAD" w:rsidP="0019413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3.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285D365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30B9944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A81CAD" w:rsidRPr="00DC70C0" w14:paraId="4AF06BBB" w14:textId="77777777" w:rsidTr="00A81CAD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87CAFA3" w14:textId="77777777" w:rsidR="00A81CAD" w:rsidRPr="00DC70C0" w:rsidRDefault="00A81CAD" w:rsidP="0019413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4.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26AC17B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48D472D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A81CAD" w:rsidRPr="00DC70C0" w14:paraId="6CA1AF33" w14:textId="77777777" w:rsidTr="00A81CAD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461C260" w14:textId="77777777" w:rsidR="00A81CAD" w:rsidRPr="00DC70C0" w:rsidRDefault="00A81CAD" w:rsidP="0019413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5.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56A7D65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1595F16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A81CAD" w:rsidRPr="00DC70C0" w14:paraId="7A0AC3D8" w14:textId="77777777" w:rsidTr="00A81CAD">
        <w:tc>
          <w:tcPr>
            <w:tcW w:w="56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1CB1A10" w14:textId="77777777" w:rsidR="00A81CAD" w:rsidRPr="00DC70C0" w:rsidRDefault="00A81CAD" w:rsidP="0019413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6.</w:t>
            </w:r>
          </w:p>
        </w:tc>
        <w:tc>
          <w:tcPr>
            <w:tcW w:w="7088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7B385E5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D2470DD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A81CAD" w:rsidRPr="00DC70C0" w14:paraId="4B1C46CB" w14:textId="77777777" w:rsidTr="00A81CAD">
        <w:tc>
          <w:tcPr>
            <w:tcW w:w="10065" w:type="dxa"/>
            <w:gridSpan w:val="11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</w:tcPr>
          <w:p w14:paraId="0A083586" w14:textId="77777777" w:rsidR="00A81CAD" w:rsidRPr="00DC70C0" w:rsidRDefault="00A81CAD" w:rsidP="00194133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Настоящим письмом подтверждаю: </w:t>
            </w:r>
          </w:p>
          <w:p w14:paraId="77FA197D" w14:textId="77777777" w:rsidR="00A81CAD" w:rsidRPr="00DC70C0" w:rsidRDefault="00A81CAD" w:rsidP="00194133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- все ввозимое оборудование, экспонаты и иные материальные ценности согласованы (в случае необходимости) с Генеральным застройщиком Выставочного центра ООО «</w:t>
            </w:r>
            <w:proofErr w:type="spellStart"/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БилдЭкспо</w:t>
            </w:r>
            <w:proofErr w:type="spellEnd"/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», Службой технической эксплуатации «Кро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кус Экспо» </w:t>
            </w:r>
            <w:r w:rsidRPr="00DB6EC6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и Отделом пожарной безопасности «Крокус Экспо» и не включают ничего запрещенного для ввоза на территорию МВЦ «Крокус Экспо» согласно действующим в Выставочном центре правилам;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 </w:t>
            </w:r>
          </w:p>
          <w:p w14:paraId="50B0B902" w14:textId="77777777" w:rsidR="00A81CAD" w:rsidRPr="00DC70C0" w:rsidRDefault="00A81CAD" w:rsidP="00194133">
            <w:pPr>
              <w:autoSpaceDE w:val="0"/>
              <w:autoSpaceDN w:val="0"/>
              <w:adjustRightInd w:val="0"/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- сотрудники компании несут ответственность за сохранность ввозимого имуществ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а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в течение Общего периода проведения Мероприятия, передачу пропусков в Зону проведения погрузочно-разгрузочных работ третьим лицам;</w:t>
            </w:r>
          </w:p>
          <w:p w14:paraId="26B67172" w14:textId="77777777" w:rsidR="00A81CAD" w:rsidRDefault="00A81CAD" w:rsidP="00194133">
            <w:pPr>
              <w:jc w:val="both"/>
              <w:rPr>
                <w:rFonts w:ascii="PT Sans Caption" w:hAnsi="PT Sans Caption" w:cstheme="minorHAnsi"/>
                <w:color w:val="000000" w:themeColor="text1"/>
                <w:sz w:val="20"/>
                <w:szCs w:val="20"/>
              </w:rPr>
            </w:pP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- привлеченные к работе сотрудники компании ознакомлены с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«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Основными требованиями при проведении мероприятий в МВЦ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“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Крокус Экспо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”»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«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Основными требованиями Генерального застройщика ООО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“</w:t>
            </w:r>
            <w:proofErr w:type="spellStart"/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БилдЭкспо</w:t>
            </w:r>
            <w:proofErr w:type="spellEnd"/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”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при обустройстве выставочных мероприятий в МВЦ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“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Крокус Экспо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”»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«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Инструкцией о мерах пожарной безопасности при монтаж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е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 (демонтаже) </w:t>
            </w:r>
            <w:r w:rsidRP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экспозиций и проведении мероприятий в павильонах и на открытых площадках  МВЦ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“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Крокус Экспо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”», «</w:t>
            </w:r>
            <w:r w:rsidRP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Порядком ввоза и вывоза оборудования и экспонатов на территорию МВЦ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“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Крокус Экспо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”», </w:t>
            </w:r>
            <w:r w:rsidRP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«Правилами доступа и пребывания на территории 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МВЦ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“</w:t>
            </w:r>
            <w:r w:rsidRPr="00DC70C0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Крокус Экспо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” </w:t>
            </w:r>
            <w:r w:rsidRPr="00B43703"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 xml:space="preserve">и посещения мероприятий, проводимых в </w:t>
            </w:r>
            <w:r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  <w:t>нем».</w:t>
            </w:r>
          </w:p>
          <w:p w14:paraId="402AF596" w14:textId="77777777" w:rsidR="00A81CAD" w:rsidRPr="009219E1" w:rsidRDefault="00A81CAD" w:rsidP="00194133">
            <w:pPr>
              <w:jc w:val="both"/>
              <w:rPr>
                <w:rFonts w:ascii="PT Sans Caption" w:hAnsi="PT Sans Caption" w:cstheme="minorHAnsi"/>
                <w:color w:val="000000" w:themeColor="text1"/>
                <w:sz w:val="16"/>
                <w:szCs w:val="16"/>
              </w:rPr>
            </w:pPr>
          </w:p>
        </w:tc>
      </w:tr>
      <w:tr w:rsidR="00A81CAD" w:rsidRPr="00DC70C0" w14:paraId="2EE8A35D" w14:textId="77777777" w:rsidTr="00A81CA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6D4C8A5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20ED2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Ф.И.О.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419F86ED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7F6A9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Дата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6C8E6C96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A81CAD" w:rsidRPr="00DC70C0" w14:paraId="54F41AAF" w14:textId="77777777" w:rsidTr="00A81CA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DCFFDC7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790B7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Должность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178772A8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65705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Подпись</w:t>
            </w:r>
          </w:p>
        </w:tc>
        <w:tc>
          <w:tcPr>
            <w:tcW w:w="3407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1F85394E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A81CAD" w:rsidRPr="00DC70C0" w14:paraId="3226498C" w14:textId="77777777" w:rsidTr="00A81CA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3B09201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DDEF75" w14:textId="77777777" w:rsidR="00A81CAD" w:rsidRPr="009219E1" w:rsidRDefault="00A81CAD" w:rsidP="00194133">
            <w:pPr>
              <w:jc w:val="both"/>
              <w:rPr>
                <w:rFonts w:ascii="PT Sans Caption" w:hAnsi="PT Sans Caption" w:cstheme="minorHAnsi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80CBC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4D48BC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04EC363B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  <w:p w14:paraId="74E9386B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М.П.</w:t>
            </w:r>
          </w:p>
        </w:tc>
      </w:tr>
      <w:tr w:rsidR="00A81CAD" w:rsidRPr="00DC70C0" w14:paraId="04BD06A4" w14:textId="77777777" w:rsidTr="00A81CA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1E05043" w14:textId="77777777" w:rsidR="00A81CAD" w:rsidRPr="00DC70C0" w:rsidRDefault="00A81CAD" w:rsidP="00194133">
            <w:pPr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95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573C9FF" w14:textId="77777777" w:rsidR="00A81CAD" w:rsidRPr="009219E1" w:rsidRDefault="00A81CAD" w:rsidP="00194133">
            <w:pPr>
              <w:jc w:val="both"/>
              <w:rPr>
                <w:rFonts w:ascii="PT Sans Caption" w:hAnsi="PT Sans Caption" w:cstheme="minorHAnsi"/>
                <w:sz w:val="10"/>
                <w:szCs w:val="10"/>
              </w:rPr>
            </w:pPr>
          </w:p>
          <w:p w14:paraId="16190333" w14:textId="77777777" w:rsidR="00A81CAD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Контактные данные лица, ответственного за работы на Выставочной площади:</w:t>
            </w:r>
          </w:p>
          <w:p w14:paraId="589C718D" w14:textId="77777777" w:rsidR="00A81CAD" w:rsidRPr="009219E1" w:rsidRDefault="00A81CAD" w:rsidP="00194133">
            <w:pPr>
              <w:jc w:val="both"/>
              <w:rPr>
                <w:rFonts w:ascii="PT Sans Caption" w:hAnsi="PT Sans Caption" w:cstheme="minorHAnsi"/>
                <w:sz w:val="10"/>
                <w:szCs w:val="10"/>
              </w:rPr>
            </w:pPr>
          </w:p>
        </w:tc>
      </w:tr>
      <w:tr w:rsidR="00A81CAD" w:rsidRPr="00DC70C0" w14:paraId="3D913498" w14:textId="77777777" w:rsidTr="00A81CAD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481F1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Ф.И.О.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41E9D584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0F00F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Телефон</w:t>
            </w:r>
            <w:r>
              <w:rPr>
                <w:rFonts w:ascii="PT Sans Caption" w:hAnsi="PT Sans Caption" w:cstheme="minorHAnsi"/>
                <w:sz w:val="18"/>
                <w:szCs w:val="18"/>
              </w:rPr>
              <w:t>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18F657C1" w14:textId="77777777" w:rsidR="00A81CAD" w:rsidRPr="00DC70C0" w:rsidRDefault="00A81CAD" w:rsidP="0019413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</w:tbl>
    <w:p w14:paraId="200DB033" w14:textId="77777777" w:rsidR="003E3A25" w:rsidRPr="003E3A25" w:rsidRDefault="003E3A25" w:rsidP="003E3A25">
      <w:pPr>
        <w:ind w:right="-1"/>
        <w:jc w:val="both"/>
        <w:rPr>
          <w:rFonts w:ascii="Arial" w:hAnsi="Arial" w:cs="Arial"/>
          <w:b/>
          <w:sz w:val="12"/>
          <w:szCs w:val="12"/>
          <w14:ligatures w14:val="none"/>
        </w:rPr>
      </w:pPr>
    </w:p>
    <w:p w14:paraId="6B262D40" w14:textId="77777777" w:rsidR="003E3A25" w:rsidRPr="00FF4F48" w:rsidRDefault="003E3A25" w:rsidP="003E3A25">
      <w:pPr>
        <w:ind w:right="-1"/>
        <w:jc w:val="both"/>
        <w:rPr>
          <w:rFonts w:ascii="Arial" w:hAnsi="Arial" w:cs="Arial"/>
          <w:b/>
          <w:color w:val="0070C0"/>
          <w:sz w:val="14"/>
          <w:szCs w:val="14"/>
          <w:u w:val="single"/>
          <w14:ligatures w14:val="none"/>
        </w:rPr>
      </w:pPr>
      <w:r w:rsidRPr="00FF4F48">
        <w:rPr>
          <w:rFonts w:ascii="Arial" w:hAnsi="Arial" w:cs="Arial"/>
          <w:b/>
          <w:color w:val="000000"/>
          <w:sz w:val="14"/>
          <w:szCs w:val="14"/>
          <w14:ligatures w14:val="none"/>
        </w:rPr>
        <w:t xml:space="preserve">Обратите внимание на то, что въезд автотранспорта в зону ПРР осуществляется по </w:t>
      </w:r>
      <w:r w:rsidRPr="00FF4F48">
        <w:rPr>
          <w:rFonts w:ascii="Arial" w:hAnsi="Arial" w:cs="Arial"/>
          <w:b/>
          <w:color w:val="0000FF"/>
          <w:sz w:val="14"/>
          <w:szCs w:val="14"/>
          <w14:ligatures w14:val="none"/>
        </w:rPr>
        <w:t xml:space="preserve">ПЛАТНЫМ ОДНОРАЗОВЫМ ПРОПУСКАМ, </w:t>
      </w:r>
      <w:r w:rsidRPr="00FF4F48">
        <w:rPr>
          <w:rFonts w:ascii="Arial" w:hAnsi="Arial" w:cs="Arial"/>
          <w:b/>
          <w:color w:val="000000"/>
          <w:sz w:val="14"/>
          <w:szCs w:val="14"/>
          <w14:ligatures w14:val="none"/>
        </w:rPr>
        <w:t>приобретаемым на стойке «Информация и оформление услуг» павильона №2 на основании данного письма.</w:t>
      </w:r>
      <w:r w:rsidRPr="00FF4F48">
        <w:rPr>
          <w:rFonts w:ascii="Arial" w:hAnsi="Arial" w:cs="Arial"/>
          <w:b/>
          <w:sz w:val="14"/>
          <w:szCs w:val="14"/>
          <w14:ligatures w14:val="none"/>
        </w:rPr>
        <w:t xml:space="preserve"> </w:t>
      </w:r>
      <w:r w:rsidRPr="00FF4F48">
        <w:rPr>
          <w:rFonts w:ascii="Arial" w:hAnsi="Arial" w:cs="Arial"/>
          <w:b/>
          <w:color w:val="000000"/>
          <w:sz w:val="14"/>
          <w:szCs w:val="14"/>
          <w14:ligatures w14:val="none"/>
        </w:rPr>
        <w:t xml:space="preserve">Грузовые автомобили, оборудованные грузоподъемными манипуляторами, </w:t>
      </w:r>
      <w:r w:rsidRPr="00FF4F48">
        <w:rPr>
          <w:rFonts w:ascii="Arial" w:hAnsi="Arial" w:cs="Arial"/>
          <w:b/>
          <w:color w:val="000000"/>
          <w:sz w:val="14"/>
          <w:szCs w:val="14"/>
          <w:u w:val="single"/>
          <w14:ligatures w14:val="none"/>
        </w:rPr>
        <w:t>использовать для выполнения погрузо-разгрузочных работ запрещено</w:t>
      </w:r>
      <w:r w:rsidRPr="00FF4F48">
        <w:rPr>
          <w:rFonts w:ascii="Arial" w:hAnsi="Arial" w:cs="Arial"/>
          <w:b/>
          <w:color w:val="000000"/>
          <w:sz w:val="14"/>
          <w:szCs w:val="14"/>
          <w14:ligatures w14:val="none"/>
        </w:rPr>
        <w:t xml:space="preserve">. За нарушение взимается штраф в размере 100 000 рублей за каждую единицу используемого оборудования. </w:t>
      </w:r>
      <w:r w:rsidRPr="00FF4F48">
        <w:rPr>
          <w:rFonts w:ascii="Arial" w:hAnsi="Arial" w:cs="Arial"/>
          <w:bCs/>
          <w:color w:val="0000CC"/>
          <w:sz w:val="14"/>
          <w:szCs w:val="14"/>
          <w14:ligatures w14:val="none"/>
        </w:rPr>
        <w:t>Максимальное время нахождения транспортного средства в погрузо-разгрузочной зоне: для грузового транспортного средства – 2 часа, для легкового транспортного средства – 1 час.</w:t>
      </w:r>
      <w:r w:rsidRPr="00FF4F48">
        <w:rPr>
          <w:rFonts w:ascii="Arial" w:hAnsi="Arial" w:cs="Arial"/>
          <w:bCs/>
          <w:sz w:val="14"/>
          <w:szCs w:val="14"/>
          <w14:ligatures w14:val="none"/>
        </w:rPr>
        <w:t xml:space="preserve"> </w:t>
      </w:r>
      <w:r w:rsidRPr="00FF4F48">
        <w:rPr>
          <w:rFonts w:ascii="Arial" w:hAnsi="Arial" w:cs="Arial"/>
          <w:b/>
          <w:bCs/>
          <w:color w:val="0070C0"/>
          <w:sz w:val="14"/>
          <w:szCs w:val="14"/>
          <w:u w:val="single"/>
          <w14:ligatures w14:val="none"/>
        </w:rPr>
        <w:t>Каждые дополнительные 0,5 часа считаются как новый час и рассчитываются как полный час, и оплачиваются участником отдельно согласно тарифам МВЦ «Крокус Экспо» на стойке Сервис-центра - «Информация и оформление услуг» павильона №2.</w:t>
      </w:r>
    </w:p>
    <w:p w14:paraId="32A2DFBF" w14:textId="77777777" w:rsidR="003E3A25" w:rsidRPr="003E3A25" w:rsidRDefault="003E3A25" w:rsidP="003E3A25">
      <w:pPr>
        <w:ind w:right="-1"/>
        <w:jc w:val="both"/>
        <w:rPr>
          <w:rFonts w:ascii="Arial" w:hAnsi="Arial" w:cs="Arial"/>
          <w:bCs/>
          <w:sz w:val="14"/>
          <w:szCs w:val="14"/>
          <w14:ligatures w14:val="none"/>
        </w:rPr>
      </w:pPr>
      <w:r w:rsidRPr="00FF4F48">
        <w:rPr>
          <w:rFonts w:ascii="Arial" w:hAnsi="Arial" w:cs="Arial"/>
          <w:sz w:val="14"/>
          <w:szCs w:val="14"/>
          <w14:ligatures w14:val="none"/>
        </w:rPr>
        <w:t xml:space="preserve">Если участник выставки завозит </w:t>
      </w:r>
      <w:r w:rsidRPr="00FF4F48">
        <w:rPr>
          <w:rFonts w:ascii="Arial" w:hAnsi="Arial" w:cs="Arial"/>
          <w:b/>
          <w:sz w:val="14"/>
          <w:szCs w:val="14"/>
          <w14:ligatures w14:val="none"/>
        </w:rPr>
        <w:t>теле-, видео-, аудиоаппаратуру</w:t>
      </w:r>
      <w:r w:rsidRPr="00FF4F48">
        <w:rPr>
          <w:rFonts w:ascii="Arial" w:hAnsi="Arial" w:cs="Arial"/>
          <w:sz w:val="14"/>
          <w:szCs w:val="14"/>
          <w14:ligatures w14:val="none"/>
        </w:rPr>
        <w:t>, ему необходимо приобрести платное р</w:t>
      </w:r>
      <w:r w:rsidRPr="00FF4F48">
        <w:rPr>
          <w:rFonts w:ascii="Arial" w:hAnsi="Arial" w:cs="Arial"/>
          <w:bCs/>
          <w:sz w:val="14"/>
          <w:szCs w:val="14"/>
          <w14:ligatures w14:val="none"/>
        </w:rPr>
        <w:t xml:space="preserve">азрешение на использование собственных аудиовизуальных устройств в выставочных залах «Крокус Экспо». </w:t>
      </w:r>
      <w:r w:rsidRPr="00FF4F48">
        <w:rPr>
          <w:rFonts w:ascii="Arial" w:hAnsi="Arial" w:cs="Arial"/>
          <w:bCs/>
          <w:color w:val="000000"/>
          <w:sz w:val="14"/>
          <w:szCs w:val="14"/>
          <w14:ligatures w14:val="none"/>
        </w:rPr>
        <w:t xml:space="preserve">Разрешение ставится бесплатно только при подачи заявок </w:t>
      </w:r>
      <w:r w:rsidRPr="00FF4F48">
        <w:rPr>
          <w:rFonts w:ascii="Arial" w:hAnsi="Arial" w:cs="Arial"/>
          <w:b/>
          <w:bCs/>
          <w:color w:val="0070C0"/>
          <w:sz w:val="14"/>
          <w:szCs w:val="14"/>
          <w:u w:val="single"/>
          <w14:ligatures w14:val="none"/>
        </w:rPr>
        <w:t>в срок</w:t>
      </w:r>
      <w:r w:rsidRPr="00FF4F48">
        <w:rPr>
          <w:rFonts w:ascii="Times New Roman" w:hAnsi="Times New Roman"/>
          <w:b/>
          <w:color w:val="0070C0"/>
          <w:sz w:val="24"/>
          <w14:ligatures w14:val="none"/>
        </w:rPr>
        <w:t xml:space="preserve"> </w:t>
      </w:r>
      <w:r w:rsidRPr="00FF4F48">
        <w:rPr>
          <w:rFonts w:ascii="Arial" w:hAnsi="Arial" w:cs="Arial"/>
          <w:b/>
          <w:color w:val="0070C0"/>
          <w:sz w:val="14"/>
          <w:szCs w:val="14"/>
          <w14:ligatures w14:val="none"/>
        </w:rPr>
        <w:t>- за</w:t>
      </w:r>
      <w:r w:rsidRPr="00FF4F48">
        <w:rPr>
          <w:rFonts w:ascii="Arial" w:hAnsi="Arial" w:cs="Arial"/>
          <w:b/>
          <w:color w:val="0070C0"/>
          <w:spacing w:val="-5"/>
          <w:sz w:val="14"/>
          <w:szCs w:val="14"/>
          <w14:ligatures w14:val="none"/>
        </w:rPr>
        <w:t xml:space="preserve"> </w:t>
      </w:r>
      <w:r w:rsidRPr="00FF4F48">
        <w:rPr>
          <w:rFonts w:ascii="Arial" w:hAnsi="Arial" w:cs="Arial"/>
          <w:b/>
          <w:color w:val="0070C0"/>
          <w:sz w:val="14"/>
          <w:szCs w:val="14"/>
          <w14:ligatures w14:val="none"/>
        </w:rPr>
        <w:t>три</w:t>
      </w:r>
      <w:r w:rsidRPr="00FF4F48">
        <w:rPr>
          <w:rFonts w:ascii="Arial" w:hAnsi="Arial" w:cs="Arial"/>
          <w:b/>
          <w:color w:val="0070C0"/>
          <w:spacing w:val="-7"/>
          <w:sz w:val="14"/>
          <w:szCs w:val="14"/>
          <w14:ligatures w14:val="none"/>
        </w:rPr>
        <w:t xml:space="preserve"> </w:t>
      </w:r>
      <w:r w:rsidRPr="00FF4F48">
        <w:rPr>
          <w:rFonts w:ascii="Arial" w:hAnsi="Arial" w:cs="Arial"/>
          <w:b/>
          <w:color w:val="0070C0"/>
          <w:sz w:val="14"/>
          <w:szCs w:val="14"/>
          <w14:ligatures w14:val="none"/>
        </w:rPr>
        <w:t>рабочих</w:t>
      </w:r>
      <w:r w:rsidRPr="00FF4F48">
        <w:rPr>
          <w:rFonts w:ascii="Arial" w:hAnsi="Arial" w:cs="Arial"/>
          <w:b/>
          <w:color w:val="0070C0"/>
          <w:spacing w:val="-5"/>
          <w:sz w:val="14"/>
          <w:szCs w:val="14"/>
          <w14:ligatures w14:val="none"/>
        </w:rPr>
        <w:t xml:space="preserve"> </w:t>
      </w:r>
      <w:r w:rsidRPr="00FF4F48">
        <w:rPr>
          <w:rFonts w:ascii="Arial" w:hAnsi="Arial" w:cs="Arial"/>
          <w:b/>
          <w:color w:val="0070C0"/>
          <w:sz w:val="14"/>
          <w:szCs w:val="14"/>
          <w14:ligatures w14:val="none"/>
        </w:rPr>
        <w:t>дня</w:t>
      </w:r>
      <w:r w:rsidRPr="00FF4F48">
        <w:rPr>
          <w:rFonts w:ascii="Arial" w:hAnsi="Arial" w:cs="Arial"/>
          <w:b/>
          <w:color w:val="0070C0"/>
          <w:spacing w:val="-8"/>
          <w:sz w:val="14"/>
          <w:szCs w:val="14"/>
          <w14:ligatures w14:val="none"/>
        </w:rPr>
        <w:t xml:space="preserve"> </w:t>
      </w:r>
      <w:r w:rsidRPr="00FF4F48">
        <w:rPr>
          <w:rFonts w:ascii="Arial" w:hAnsi="Arial" w:cs="Arial"/>
          <w:b/>
          <w:color w:val="0070C0"/>
          <w:sz w:val="14"/>
          <w:szCs w:val="14"/>
          <w14:ligatures w14:val="none"/>
        </w:rPr>
        <w:t>до</w:t>
      </w:r>
      <w:r w:rsidRPr="00FF4F48">
        <w:rPr>
          <w:rFonts w:ascii="Arial" w:hAnsi="Arial" w:cs="Arial"/>
          <w:b/>
          <w:color w:val="0070C0"/>
          <w:spacing w:val="-5"/>
          <w:sz w:val="14"/>
          <w:szCs w:val="14"/>
          <w14:ligatures w14:val="none"/>
        </w:rPr>
        <w:t xml:space="preserve"> </w:t>
      </w:r>
      <w:r w:rsidRPr="00FF4F48">
        <w:rPr>
          <w:rFonts w:ascii="Arial" w:hAnsi="Arial" w:cs="Arial"/>
          <w:b/>
          <w:color w:val="0070C0"/>
          <w:sz w:val="14"/>
          <w:szCs w:val="14"/>
          <w14:ligatures w14:val="none"/>
        </w:rPr>
        <w:t>начала</w:t>
      </w:r>
      <w:r w:rsidRPr="00FF4F48">
        <w:rPr>
          <w:rFonts w:ascii="Arial" w:hAnsi="Arial" w:cs="Arial"/>
          <w:b/>
          <w:color w:val="0070C0"/>
          <w:spacing w:val="-8"/>
          <w:sz w:val="14"/>
          <w:szCs w:val="14"/>
          <w14:ligatures w14:val="none"/>
        </w:rPr>
        <w:t xml:space="preserve"> </w:t>
      </w:r>
      <w:r w:rsidRPr="00FF4F48">
        <w:rPr>
          <w:rFonts w:ascii="Arial" w:hAnsi="Arial" w:cs="Arial"/>
          <w:b/>
          <w:color w:val="0070C0"/>
          <w:sz w:val="14"/>
          <w:szCs w:val="14"/>
          <w14:ligatures w14:val="none"/>
        </w:rPr>
        <w:t>монтажа</w:t>
      </w:r>
      <w:r w:rsidRPr="00FF4F48">
        <w:rPr>
          <w:rFonts w:ascii="Arial" w:hAnsi="Arial" w:cs="Arial"/>
          <w:b/>
          <w:color w:val="0070C0"/>
          <w:spacing w:val="-5"/>
          <w:sz w:val="14"/>
          <w:szCs w:val="14"/>
          <w14:ligatures w14:val="none"/>
        </w:rPr>
        <w:t xml:space="preserve"> </w:t>
      </w:r>
      <w:r w:rsidRPr="00FF4F48">
        <w:rPr>
          <w:rFonts w:ascii="Arial" w:hAnsi="Arial" w:cs="Arial"/>
          <w:b/>
          <w:color w:val="0070C0"/>
          <w:sz w:val="14"/>
          <w:szCs w:val="14"/>
          <w14:ligatures w14:val="none"/>
        </w:rPr>
        <w:t>мероприятия</w:t>
      </w:r>
      <w:r w:rsidRPr="00FF4F48">
        <w:rPr>
          <w:rFonts w:ascii="Arial" w:hAnsi="Arial" w:cs="Arial"/>
          <w:bCs/>
          <w:color w:val="000000"/>
          <w:sz w:val="14"/>
          <w:szCs w:val="14"/>
          <w14:ligatures w14:val="none"/>
        </w:rPr>
        <w:t xml:space="preserve"> и</w:t>
      </w:r>
      <w:r w:rsidRPr="00FF4F48">
        <w:rPr>
          <w:rFonts w:ascii="Arial" w:hAnsi="Arial" w:cs="Arial"/>
          <w:color w:val="000000"/>
          <w:sz w:val="14"/>
          <w:szCs w:val="14"/>
          <w14:ligatures w14:val="none"/>
        </w:rPr>
        <w:t xml:space="preserve"> если указанное оборудование числится на балансе компании (при предоставлении необходимых документов, а именно: 1) инструкции по эксплуатации; 2) гарантийного талона продавца (производителя), оформленного на компанию участника/застройщика; 3) фотографии внешнего вида и фотографии этикетки с техническими характеристиками и серийным номером; 4) унифицированной формы № ТОРГ-12).</w:t>
      </w:r>
    </w:p>
    <w:sectPr w:rsidR="003E3A25" w:rsidRPr="003E3A25" w:rsidSect="00523BA0">
      <w:footerReference w:type="default" r:id="rId8"/>
      <w:pgSz w:w="11906" w:h="16838"/>
      <w:pgMar w:top="567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D1AC6" w14:textId="77777777" w:rsidR="00C16AA1" w:rsidRDefault="00C16AA1" w:rsidP="00972A06">
      <w:pPr>
        <w:spacing w:after="0" w:line="240" w:lineRule="auto"/>
      </w:pPr>
      <w:r>
        <w:separator/>
      </w:r>
    </w:p>
  </w:endnote>
  <w:endnote w:type="continuationSeparator" w:id="0">
    <w:p w14:paraId="0711008A" w14:textId="77777777" w:rsidR="00C16AA1" w:rsidRDefault="00C16AA1" w:rsidP="0097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Caption">
    <w:altName w:val="Arial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8933217"/>
      <w:docPartObj>
        <w:docPartGallery w:val="Page Numbers (Bottom of Page)"/>
        <w:docPartUnique/>
      </w:docPartObj>
    </w:sdtPr>
    <w:sdtContent>
      <w:p w14:paraId="7F7D711B" w14:textId="4646DC28" w:rsidR="00A6165A" w:rsidRDefault="00A6165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268">
          <w:rPr>
            <w:noProof/>
          </w:rPr>
          <w:t>2</w:t>
        </w:r>
        <w:r>
          <w:fldChar w:fldCharType="end"/>
        </w:r>
      </w:p>
    </w:sdtContent>
  </w:sdt>
  <w:p w14:paraId="60F3CACE" w14:textId="77777777" w:rsidR="00A6165A" w:rsidRDefault="00A616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1F20A" w14:textId="77777777" w:rsidR="00C16AA1" w:rsidRDefault="00C16AA1" w:rsidP="00972A06">
      <w:pPr>
        <w:spacing w:after="0" w:line="240" w:lineRule="auto"/>
      </w:pPr>
      <w:r>
        <w:separator/>
      </w:r>
    </w:p>
  </w:footnote>
  <w:footnote w:type="continuationSeparator" w:id="0">
    <w:p w14:paraId="3CD25F7E" w14:textId="77777777" w:rsidR="00C16AA1" w:rsidRDefault="00C16AA1" w:rsidP="0097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976E39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727176553" o:spid="_x0000_i1025" type="#_x0000_t75" style="width:35.25pt;height:30.75pt;visibility:visible;mso-wrap-style:square">
            <v:imagedata r:id="rId1" o:title=""/>
          </v:shape>
        </w:pict>
      </mc:Choice>
      <mc:Fallback>
        <w:drawing>
          <wp:inline distT="0" distB="0" distL="0" distR="0" wp14:anchorId="58BC3119" wp14:editId="46B47FFF">
            <wp:extent cx="447675" cy="390525"/>
            <wp:effectExtent l="0" t="0" r="0" b="0"/>
            <wp:docPr id="1727176553" name="Рисунок 1727176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4844B1"/>
    <w:multiLevelType w:val="hybridMultilevel"/>
    <w:tmpl w:val="F6F48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F3D89"/>
    <w:multiLevelType w:val="hybridMultilevel"/>
    <w:tmpl w:val="31F87788"/>
    <w:lvl w:ilvl="0" w:tplc="E45AFF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16528"/>
    <w:multiLevelType w:val="hybridMultilevel"/>
    <w:tmpl w:val="26EA3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A1E93"/>
    <w:multiLevelType w:val="multilevel"/>
    <w:tmpl w:val="97B8D6E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7B9C5671"/>
    <w:multiLevelType w:val="hybridMultilevel"/>
    <w:tmpl w:val="CB28597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927881859">
    <w:abstractNumId w:val="4"/>
  </w:num>
  <w:num w:numId="2" w16cid:durableId="1892187311">
    <w:abstractNumId w:val="2"/>
  </w:num>
  <w:num w:numId="3" w16cid:durableId="811674490">
    <w:abstractNumId w:val="0"/>
  </w:num>
  <w:num w:numId="4" w16cid:durableId="753664625">
    <w:abstractNumId w:val="1"/>
  </w:num>
  <w:num w:numId="5" w16cid:durableId="594674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24D"/>
    <w:rsid w:val="00011711"/>
    <w:rsid w:val="00027710"/>
    <w:rsid w:val="000461BA"/>
    <w:rsid w:val="0006000B"/>
    <w:rsid w:val="00060E36"/>
    <w:rsid w:val="000A0C99"/>
    <w:rsid w:val="000D0268"/>
    <w:rsid w:val="000D33D7"/>
    <w:rsid w:val="00113D8F"/>
    <w:rsid w:val="00130F16"/>
    <w:rsid w:val="00162B73"/>
    <w:rsid w:val="00191036"/>
    <w:rsid w:val="001A6608"/>
    <w:rsid w:val="001D15DD"/>
    <w:rsid w:val="001F27C1"/>
    <w:rsid w:val="001F53CE"/>
    <w:rsid w:val="00216C94"/>
    <w:rsid w:val="00216CCE"/>
    <w:rsid w:val="0022024D"/>
    <w:rsid w:val="00256174"/>
    <w:rsid w:val="00293000"/>
    <w:rsid w:val="002C2F74"/>
    <w:rsid w:val="002C30FA"/>
    <w:rsid w:val="00333448"/>
    <w:rsid w:val="003747FA"/>
    <w:rsid w:val="003E1BE3"/>
    <w:rsid w:val="003E343B"/>
    <w:rsid w:val="003E3A25"/>
    <w:rsid w:val="003F0E0A"/>
    <w:rsid w:val="004168E6"/>
    <w:rsid w:val="00446AF4"/>
    <w:rsid w:val="004A1C91"/>
    <w:rsid w:val="004B1F49"/>
    <w:rsid w:val="004C276A"/>
    <w:rsid w:val="004E17DB"/>
    <w:rsid w:val="00506576"/>
    <w:rsid w:val="00523BA0"/>
    <w:rsid w:val="00557A29"/>
    <w:rsid w:val="005618F7"/>
    <w:rsid w:val="005E6E60"/>
    <w:rsid w:val="005F30B9"/>
    <w:rsid w:val="00600B82"/>
    <w:rsid w:val="00644550"/>
    <w:rsid w:val="00646F99"/>
    <w:rsid w:val="0065462B"/>
    <w:rsid w:val="0069335B"/>
    <w:rsid w:val="006A39EB"/>
    <w:rsid w:val="006B62D3"/>
    <w:rsid w:val="007B27D0"/>
    <w:rsid w:val="007B327B"/>
    <w:rsid w:val="008315CC"/>
    <w:rsid w:val="00834322"/>
    <w:rsid w:val="0084223D"/>
    <w:rsid w:val="008718AA"/>
    <w:rsid w:val="008745A3"/>
    <w:rsid w:val="00881169"/>
    <w:rsid w:val="008A486D"/>
    <w:rsid w:val="008D3D35"/>
    <w:rsid w:val="00901DA9"/>
    <w:rsid w:val="0092207A"/>
    <w:rsid w:val="00965175"/>
    <w:rsid w:val="00966AB6"/>
    <w:rsid w:val="00972A06"/>
    <w:rsid w:val="00996562"/>
    <w:rsid w:val="009C72D3"/>
    <w:rsid w:val="009E0642"/>
    <w:rsid w:val="009F33AE"/>
    <w:rsid w:val="009F65AE"/>
    <w:rsid w:val="00A56FD2"/>
    <w:rsid w:val="00A6165A"/>
    <w:rsid w:val="00A81CAD"/>
    <w:rsid w:val="00AD1FFE"/>
    <w:rsid w:val="00AD49B2"/>
    <w:rsid w:val="00B23C89"/>
    <w:rsid w:val="00B266E1"/>
    <w:rsid w:val="00BB510E"/>
    <w:rsid w:val="00BD121A"/>
    <w:rsid w:val="00BF204D"/>
    <w:rsid w:val="00C0090F"/>
    <w:rsid w:val="00C16AA1"/>
    <w:rsid w:val="00C243FF"/>
    <w:rsid w:val="00C33E2F"/>
    <w:rsid w:val="00C8142A"/>
    <w:rsid w:val="00C84ABF"/>
    <w:rsid w:val="00C84F2A"/>
    <w:rsid w:val="00CC2646"/>
    <w:rsid w:val="00D20C82"/>
    <w:rsid w:val="00D26A3C"/>
    <w:rsid w:val="00D438E3"/>
    <w:rsid w:val="00D75466"/>
    <w:rsid w:val="00DA3673"/>
    <w:rsid w:val="00DD1B6C"/>
    <w:rsid w:val="00DF11E3"/>
    <w:rsid w:val="00E04683"/>
    <w:rsid w:val="00E26599"/>
    <w:rsid w:val="00E27884"/>
    <w:rsid w:val="00E27DAB"/>
    <w:rsid w:val="00E52902"/>
    <w:rsid w:val="00E661E2"/>
    <w:rsid w:val="00EB44F7"/>
    <w:rsid w:val="00EF2FE5"/>
    <w:rsid w:val="00F60251"/>
    <w:rsid w:val="00F74680"/>
    <w:rsid w:val="00F950C3"/>
    <w:rsid w:val="00FA5F1F"/>
    <w:rsid w:val="00FD3302"/>
    <w:rsid w:val="00FE182C"/>
    <w:rsid w:val="00FF30CE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CC6A2"/>
  <w15:chartTrackingRefBased/>
  <w15:docId w15:val="{106122A6-57C5-41A1-AA8F-38B3DD1A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220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202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2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220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202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02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02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02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02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02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02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0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0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0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0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02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02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02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0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02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024D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7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2A06"/>
  </w:style>
  <w:style w:type="paragraph" w:styleId="ae">
    <w:name w:val="footer"/>
    <w:basedOn w:val="a"/>
    <w:link w:val="af"/>
    <w:uiPriority w:val="99"/>
    <w:unhideWhenUsed/>
    <w:rsid w:val="0097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2A06"/>
  </w:style>
  <w:style w:type="table" w:styleId="af0">
    <w:name w:val="Table Grid"/>
    <w:basedOn w:val="a1"/>
    <w:uiPriority w:val="39"/>
    <w:rsid w:val="00972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972A0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72A06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69335B"/>
    <w:rPr>
      <w:color w:val="954F72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DF11E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F11E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F11E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F11E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F11E3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55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557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C1681-A38E-47AD-BEDA-AEC78173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Иониди</dc:creator>
  <cp:keywords/>
  <dc:description/>
  <cp:lastModifiedBy>Наталья Иониди</cp:lastModifiedBy>
  <cp:revision>9</cp:revision>
  <dcterms:created xsi:type="dcterms:W3CDTF">2025-06-20T07:15:00Z</dcterms:created>
  <dcterms:modified xsi:type="dcterms:W3CDTF">2025-06-25T09:55:00Z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