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18"/>
        <w:jc w:val="center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bookmarkStart w:id="0" w:name="_GoBack"/>
      <w:bookmarkEnd w:id="0"/>
      <w:r>
        <w:rPr>
          <w:rFonts w:eastAsia="Times New Roman" w:cs="Times New Roman"/>
          <w:b/>
          <w:bCs/>
          <w:kern w:val="2"/>
          <w:lang w:eastAsia="ru-RU"/>
        </w:rPr>
        <w:t>Порядок (случаи) оказания бесплатной юридической помощи</w:t>
      </w:r>
    </w:p>
    <w:p>
      <w:pPr>
        <w:pStyle w:val="Normal"/>
        <w:spacing w:lineRule="atLeast" w:line="18"/>
        <w:jc w:val="center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Частью 2 статьи 20 </w:t>
      </w:r>
      <w:bookmarkStart w:id="1" w:name="_Hlk158725731"/>
      <w:r>
        <w:rPr>
          <w:rFonts w:eastAsia="Times New Roman" w:cs="Times New Roman"/>
          <w:b/>
          <w:bCs/>
          <w:kern w:val="2"/>
          <w:lang w:eastAsia="ru-RU"/>
        </w:rPr>
        <w:t xml:space="preserve">Федерального закона от 21.11.2011 № 324-ФЗ «О бесплатной юридической помощи в Российской Федерации» </w:t>
      </w:r>
      <w:bookmarkEnd w:id="1"/>
      <w:r>
        <w:rPr>
          <w:rFonts w:eastAsia="Times New Roman" w:cs="Times New Roman"/>
          <w:b/>
          <w:bCs/>
          <w:kern w:val="2"/>
          <w:lang w:eastAsia="ru-RU"/>
        </w:rPr>
        <w:t>определен перечень случаев, в которых государственное юридическое бюро и адвокаты осуществляют правовое консультирование в устной и письменной форме граждан, имеющих право на получение бесплатной юридической помощи, и составляют для них заявления, жалобы, ходатайства и другие документы правового характера.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>К указанному перечню относятся следующие случаи: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4) защита прав потребителей (в части предоставления коммунальных услуг);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5) отказ работодателя в заключении трудового договора, нарушающий гарантии, установленные Трудовым </w:t>
      </w:r>
      <w:hyperlink r:id="rId2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кодексом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6) признание гражданина безработным и установление пособия по безработице;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10) установление и оспаривание отцовства (материнства), взыскание алиментов;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10.2) защита прав и законных интересов детей-инвалидов, детей-сирот и детей, оставшихся без попечения родителей, лиц из числа детей-сирот и детей, оставшихся без попечения родителей, и лиц, потерявших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11) реабилитация граждан, пострадавших от политических репрессий;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12) ограничение дееспособности;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13) обжалование нарушений прав и свобод граждан при оказании психиатрической помощи;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14) медико-социальная экспертиза и реабилитация инвалидов;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17) обеспечение денежным довольствием военнослужащих и предоставление им отдельных выплат в соответствии с Федеральным </w:t>
      </w:r>
      <w:hyperlink r:id="rId3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законом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от 7 ноября 2011 года № 306-ФЗ «О денежном довольствии военнослужащих и предоставлении им отдельных выплат»;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18) предоставление льгот, социальных гарантий и компенсаций лицам, указанным в </w:t>
      </w:r>
      <w:hyperlink r:id="rId4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5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19) предоставление льгот, социальных гарантий и компенсаций лицам, указанным в </w:t>
      </w:r>
      <w:hyperlink r:id="rId6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пункте 3.3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20) признание гражданина из числа лиц, указанных в </w:t>
      </w:r>
      <w:hyperlink r:id="rId7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8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 (за исключением членов их семей), безвестно отсутствующим;</w:t>
      </w:r>
    </w:p>
    <w:p>
      <w:pPr>
        <w:pStyle w:val="Normal"/>
        <w:widowControl/>
        <w:suppressAutoHyphens w:val="false"/>
        <w:ind w:firstLine="540"/>
        <w:jc w:val="both"/>
        <w:rPr/>
      </w:pPr>
      <w:r>
        <w:rPr>
          <w:rFonts w:eastAsia="Calibri" w:cs="Times New Roman" w:eastAsiaTheme="minorHAnsi"/>
          <w:kern w:val="0"/>
          <w:lang w:eastAsia="en-US" w:bidi="ar-SA"/>
        </w:rPr>
        <w:t xml:space="preserve">21) объявление гражданина из числа лиц, указанных в </w:t>
      </w:r>
      <w:hyperlink r:id="rId9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пунктах 3.1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и </w:t>
      </w:r>
      <w:hyperlink r:id="rId10">
        <w:r>
          <w:rPr>
            <w:rStyle w:val="ListLabel1"/>
            <w:rFonts w:eastAsia="Calibri" w:cs="Times New Roman" w:eastAsiaTheme="minorHAnsi"/>
            <w:kern w:val="0"/>
            <w:lang w:eastAsia="en-US" w:bidi="ar-SA"/>
          </w:rPr>
          <w:t>3.2 части 1</w:t>
        </w:r>
      </w:hyperlink>
      <w:r>
        <w:rPr>
          <w:rFonts w:eastAsia="Calibri" w:cs="Times New Roman" w:eastAsiaTheme="minorHAnsi"/>
          <w:kern w:val="0"/>
          <w:lang w:eastAsia="en-US" w:bidi="ar-SA"/>
        </w:rPr>
        <w:t xml:space="preserve"> указанной статьи (за исключением членов их семей), умершим.</w:t>
      </w:r>
    </w:p>
    <w:p>
      <w:pPr>
        <w:pStyle w:val="Normal"/>
        <w:spacing w:lineRule="atLeast" w:line="18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3 статьи 20 Федерального закона от 21.11.2011 </w:t>
        <w:br/>
        <w:t>№ 324-ФЗ «О бесплатной юридической помощи в Российской Федерации» 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рамках государственной системы бесплатной юридической помощи, если они являются: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1) истцами и ответчиками при рассмотрении судами дел о: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а)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2) истцами (заявителями) при рассмотрении судами дел: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а) о взыскании алиментов;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г) 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е) об установлении и оспаривании отцовства (материнства);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3) гражданами, в отношении которых судом рассматривается заявление о признании их недееспособными;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4) гражданами, пострадавшими от политических репрессий, – по вопросам, связанным с реабилитацией;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>
      <w:pPr>
        <w:pStyle w:val="Normal"/>
        <w:widowControl/>
        <w:suppressAutoHyphens w:val="false"/>
        <w:ind w:firstLine="540"/>
        <w:jc w:val="both"/>
        <w:rPr>
          <w:rFonts w:eastAsia="Calibri" w:cs="Times New Roman" w:eastAsiaTheme="minorHAnsi"/>
          <w:kern w:val="0"/>
          <w:lang w:eastAsia="en-US" w:bidi="ar-SA"/>
        </w:rPr>
      </w:pPr>
      <w:r>
        <w:rPr>
          <w:rFonts w:eastAsia="Calibri" w:cs="Times New Roman" w:eastAsiaTheme="minorHAnsi"/>
          <w:kern w:val="0"/>
          <w:lang w:eastAsia="en-US" w:bidi="ar-SA"/>
        </w:rPr>
        <w:t>6) гражданами, пострадавшими от чрезвычайной ситуации, –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ab/>
      </w: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2 статьи 4 Закона Владимирской области </w:t>
        <w:br/>
        <w:t xml:space="preserve">от 02.11.2022 № 96-ОЗ «Об оказании бесплатной юридической помощи во Владимирской области» государственное юридическое бюро и адвокаты, являющиеся участниками государственной системы бесплатной юридической помощи, осуществляют правовое консультирование в устной и письменной форме граждан, указанных в части 1 статьи 20 Федерального закона «О бесплатной юридической помощи в Российской Федерации» и части 1 настоящей статьи, составляют для них заявления, жалобы, ходатайства и другие документы правового характера в случаях, предусмотренных в части 2 статьи 20 Федерального закона «О бесплатной юридической помощи в Российской Федерации», а также в следующих случаях: 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1) 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(если квартира, жилой дом или их части не являются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2) 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(если квартира, жилой дом или их части не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3) 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4) возмещение вреда, причиненного смертью кормильца, увечьем или иным повреждением здоровья, не связанным с трудовой деятельностью;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5) обеспечение и защита прав и законных интересов детей, находящихся в трудной жизненной ситуации;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6) защита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7) обеспечение и защита прав граждан - участников долевого строительства;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8) защита прав граждан по вопросам, связанным с выплатой им выходных пособий и (или) с оплатой их труда работодателями-банкротами;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9) восстановление в родительских правах, отмена ограничения родительских прав.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b/>
          <w:b/>
          <w:bCs/>
          <w:kern w:val="2"/>
          <w:lang w:eastAsia="ru-RU"/>
        </w:rPr>
      </w:pPr>
      <w:r>
        <w:rPr>
          <w:rFonts w:eastAsia="Times New Roman" w:cs="Times New Roman"/>
          <w:b/>
          <w:bCs/>
          <w:kern w:val="2"/>
          <w:lang w:eastAsia="ru-RU"/>
        </w:rPr>
        <w:t xml:space="preserve">В соответствии с частью 3 статьи 4 Закона Владимирской области </w:t>
        <w:br/>
        <w:t xml:space="preserve">от 02.11.2022 № 96-ОЗ «Об оказании бесплатной юридической помощи во Владимирской области» государственное юридическое бюро и адвокаты, являющиеся участниками государственной системы бесплатной юридической помощи, представляют в судах, государственных и муниципальных органах, организациях интересы граждан, имеющих право на получение бесплатной юридической помощи в случаях, предусмотренных частью 3 статьи 20 Федерального закона от 21.11.2011 № 324-ФЗ «О бесплатной юридической помощи в Российской Федерации», а также в случаях, если они являются: 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1) истцами и ответчиками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 заключении, изменении, расторжении, признании недействительными сделок с недвижимым имуществом, государственной регистрации прав на недвижимое имущество и сделок с ним и об отказе в государственной регистрации таких прав (если квартира, жилой дом или их части не являются единственным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 о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(если квартира, жилой дом или их части не являются единственным жилым помещением гражданина и его семьи), расторжении и прекращении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выселении из указанного жилого помещения;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в) о признании и сохранении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(если на спорном земельном участке или его части находятся жилой дом или его часть, не являющиеся единственным жилым помещением гражданина и его семьи);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г) утратил силу. - Закон Владимирской области от 01.07.2025 № 72-ОЗ;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д) о предоставлении коммунальных услуг;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2) истцами (заявителями)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об установлении факта признания отцовства (материнства);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 о возмещении вреда, причиненного смертью кормильца, увечьем или иным повреждением здоровья, не связанным с трудовой деятельностью;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в) о защите прав и законных интересов граждан, имеющих право на льготное обеспечение лекарственными средствами в соответствии с федеральным и областным законодательством;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г) о предоставлении мер социальной поддержки;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д) об установлении инвалидности, определении степени утраты профессиональной трудоспособности;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е) о назначении, перерасчете и взыскании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ж) о защите прав граждан по вопросам, связанным с выплатой им выходных пособий и (или) с оплатой их труда работодателями-банкротами;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з) утратил силу. - Закон Владимирской области от 29.12.2025 N 162-ОЗ;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и) о защите прав граждан - участников долевого строительства;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3) ответчиками при рассмотрении судами дел: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а) о взыскании алиментов;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б) об установлении и оспаривании отцовства (материнства);</w:t>
      </w:r>
    </w:p>
    <w:p>
      <w:pPr>
        <w:pStyle w:val="Normal"/>
        <w:spacing w:lineRule="atLeast" w:line="18"/>
        <w:ind w:firstLine="539"/>
        <w:jc w:val="both"/>
        <w:textAlignment w:val="baseline"/>
        <w:rPr>
          <w:rFonts w:eastAsia="Times New Roman" w:cs="Times New Roman"/>
          <w:kern w:val="2"/>
          <w:lang w:eastAsia="ru-RU"/>
        </w:rPr>
      </w:pPr>
      <w:r>
        <w:rPr>
          <w:rFonts w:eastAsia="Times New Roman" w:cs="Times New Roman"/>
          <w:kern w:val="2"/>
          <w:lang w:eastAsia="ru-RU"/>
        </w:rPr>
        <w:t>4) инвалидами - по вопросам медико-социальной экспертизы, реабилитации инвалидов и абилитации инвалидов.</w:t>
      </w:r>
    </w:p>
    <w:p>
      <w:pPr>
        <w:pStyle w:val="Normal"/>
        <w:tabs>
          <w:tab w:val="clear" w:pos="708"/>
          <w:tab w:val="left" w:pos="7808" w:leader="none"/>
        </w:tabs>
        <w:suppressAutoHyphens w:val="false"/>
        <w:snapToGrid w:val="false"/>
        <w:spacing w:lineRule="atLeast" w:line="10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</w:r>
    </w:p>
    <w:p>
      <w:pPr>
        <w:pStyle w:val="Standard"/>
        <w:widowControl/>
        <w:spacing w:lineRule="atLeast" w:line="100"/>
        <w:ind w:right="-58" w:hanging="0"/>
        <w:jc w:val="both"/>
        <w:rPr/>
      </w:pPr>
      <w:r>
        <w:rPr/>
      </w:r>
    </w:p>
    <w:sectPr>
      <w:type w:val="nextPage"/>
      <w:pgSz w:w="11906" w:h="16838"/>
      <w:pgMar w:left="1134" w:right="567" w:header="0" w:top="851" w:footer="0" w:bottom="709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14b0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Lucida Sans Unicode" w:cs="Mangal"/>
      <w:color w:val="auto"/>
      <w:kern w:val="2"/>
      <w:sz w:val="24"/>
      <w:szCs w:val="24"/>
      <w:lang w:eastAsia="hi-I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basedOn w:val="DefaultParagraphFont"/>
    <w:link w:val="2"/>
    <w:qFormat/>
    <w:rsid w:val="001414b0"/>
    <w:rPr>
      <w:rFonts w:ascii="Tahoma" w:hAnsi="Tahoma" w:eastAsia="Tahoma" w:cs="Tahoma"/>
      <w:kern w:val="2"/>
      <w:sz w:val="17"/>
      <w:szCs w:val="17"/>
      <w:lang w:eastAsia="hi-IN" w:bidi="hi-IN"/>
    </w:rPr>
  </w:style>
  <w:style w:type="character" w:styleId="ListLabel1">
    <w:name w:val="ListLabel 1"/>
    <w:qFormat/>
    <w:rPr>
      <w:rFonts w:eastAsia="Calibri" w:cs="Times New Roman" w:eastAsiaTheme="minorHAnsi"/>
      <w:kern w:val="0"/>
      <w:lang w:eastAsia="en-US" w:bidi="ar-SA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(2)"/>
    <w:basedOn w:val="Normal"/>
    <w:next w:val="Normal"/>
    <w:link w:val="20"/>
    <w:qFormat/>
    <w:rsid w:val="001414b0"/>
    <w:pPr>
      <w:spacing w:lineRule="exact" w:line="214" w:before="0" w:after="420"/>
      <w:jc w:val="both"/>
    </w:pPr>
    <w:rPr>
      <w:rFonts w:ascii="Tahoma" w:hAnsi="Tahoma" w:eastAsia="Tahoma" w:cs="Tahoma"/>
      <w:sz w:val="17"/>
      <w:szCs w:val="17"/>
    </w:rPr>
  </w:style>
  <w:style w:type="paragraph" w:styleId="Style20" w:customStyle="1">
    <w:name w:val="Содержимое таблицы"/>
    <w:basedOn w:val="Normal"/>
    <w:qFormat/>
    <w:rsid w:val="001414b0"/>
    <w:pPr>
      <w:suppressLineNumbers/>
    </w:pPr>
    <w:rPr/>
  </w:style>
  <w:style w:type="paragraph" w:styleId="Standard" w:customStyle="1">
    <w:name w:val="Standard"/>
    <w:qFormat/>
    <w:rsid w:val="001414b0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Andale Sans UI" w:cs="Tahoma"/>
      <w:color w:val="auto"/>
      <w:kern w:val="2"/>
      <w:sz w:val="24"/>
      <w:szCs w:val="24"/>
      <w:lang w:val="de-DE" w:eastAsia="ja-JP" w:bidi="fa-IR"/>
    </w:rPr>
  </w:style>
  <w:style w:type="paragraph" w:styleId="ListParagraph">
    <w:name w:val="List Paragraph"/>
    <w:basedOn w:val="Standard"/>
    <w:qFormat/>
    <w:rsid w:val="00496a8a"/>
    <w:pPr>
      <w:ind w:left="720" w:hanging="0"/>
    </w:pPr>
    <w:rPr/>
  </w:style>
  <w:style w:type="paragraph" w:styleId="ConsPlusNormal" w:customStyle="1">
    <w:name w:val="ConsPlusNormal"/>
    <w:qFormat/>
    <w:rsid w:val="00a1572f"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Calibri" w:hAnsi="Calibri" w:eastAsia="Times New Roman" w:cs="Calibri" w:asciiTheme="minorHAnsi" w:hAnsiTheme="minorHAnsi"/>
      <w:color w:val="auto"/>
      <w:kern w:val="2"/>
      <w:sz w:val="24"/>
      <w:szCs w:val="20"/>
      <w:lang w:eastAsia="ru-RU" w:bidi="hi-IN"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1414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68389" TargetMode="External"/><Relationship Id="rId3" Type="http://schemas.openxmlformats.org/officeDocument/2006/relationships/hyperlink" Target="https://login.consultant.ru/link/?req=doc&amp;base=LAW&amp;n=465571" TargetMode="External"/><Relationship Id="rId4" Type="http://schemas.openxmlformats.org/officeDocument/2006/relationships/hyperlink" Target="https://login.consultant.ru/link/?req=doc&amp;base=LAW&amp;n=451733&amp;dst=100255" TargetMode="External"/><Relationship Id="rId5" Type="http://schemas.openxmlformats.org/officeDocument/2006/relationships/hyperlink" Target="https://login.consultant.ru/link/?req=doc&amp;base=LAW&amp;n=451733&amp;dst=100256" TargetMode="External"/><Relationship Id="rId6" Type="http://schemas.openxmlformats.org/officeDocument/2006/relationships/hyperlink" Target="https://login.consultant.ru/link/?req=doc&amp;base=LAW&amp;n=451733&amp;dst=100257" TargetMode="External"/><Relationship Id="rId7" Type="http://schemas.openxmlformats.org/officeDocument/2006/relationships/hyperlink" Target="https://login.consultant.ru/link/?req=doc&amp;base=LAW&amp;n=451733&amp;dst=100255" TargetMode="External"/><Relationship Id="rId8" Type="http://schemas.openxmlformats.org/officeDocument/2006/relationships/hyperlink" Target="https://login.consultant.ru/link/?req=doc&amp;base=LAW&amp;n=451733&amp;dst=100256" TargetMode="External"/><Relationship Id="rId9" Type="http://schemas.openxmlformats.org/officeDocument/2006/relationships/hyperlink" Target="https://login.consultant.ru/link/?req=doc&amp;base=LAW&amp;n=451733&amp;dst=100255" TargetMode="External"/><Relationship Id="rId10" Type="http://schemas.openxmlformats.org/officeDocument/2006/relationships/hyperlink" Target="https://login.consultant.ru/link/?req=doc&amp;base=LAW&amp;n=451733&amp;dst=100256" TargetMode="Externa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LibreOffice/6.2.2.2$Windows_X86_64 LibreOffice_project/2b840030fec2aae0fd2658d8d4f9548af4e3518d</Application>
  <Pages>4</Pages>
  <Words>1969</Words>
  <Characters>13611</Characters>
  <CharactersWithSpaces>15515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2026-03-23T06:41:00Z</dcterms:created>
  <dc:creator>Пользователь</dc:creator>
  <dc:description/>
  <dc:language>ru-RU</dc:language>
  <cp:lastModifiedBy>Елена Александровна Никитина</cp:lastModifiedBy>
  <cp:lastPrinted>2025-04-16T07:14:00Z</cp:lastPrinted>
  <dcterms:modified xsi:type="dcterms:W3CDTF">2026-03-23T06:41:00Z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